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776040" w:rsidP="009566F9">
      <w:pPr>
        <w:pStyle w:val="ECOPHON18CENTRE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1285875" cy="89567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9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E32"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776040">
        <w:rPr>
          <w:rStyle w:val="ECOPHONTITRE3BCar"/>
          <w:b/>
          <w:sz w:val="22"/>
          <w:szCs w:val="22"/>
          <w:lang w:val="fr-FR"/>
        </w:rPr>
        <w:t>FOCUS FIXIFORM DS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CA6F02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8A028D">
        <w:rPr>
          <w:rFonts w:ascii="Arial" w:hAnsi="Arial" w:cs="Arial"/>
          <w:color w:val="000000"/>
          <w:sz w:val="18"/>
          <w:szCs w:val="18"/>
        </w:rPr>
        <w:t>panneaux</w:t>
      </w:r>
      <w:r w:rsidR="00BD0C03">
        <w:rPr>
          <w:rFonts w:ascii="Arial" w:hAnsi="Arial" w:cs="Arial"/>
          <w:color w:val="000000"/>
          <w:sz w:val="18"/>
          <w:szCs w:val="18"/>
        </w:rPr>
        <w:t xml:space="preserve">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E8182B">
        <w:rPr>
          <w:rFonts w:ascii="Arial" w:hAnsi="Arial" w:cs="Arial"/>
          <w:b/>
          <w:sz w:val="18"/>
          <w:szCs w:val="18"/>
        </w:rPr>
        <w:t>Focus</w:t>
      </w:r>
      <w:r w:rsidR="009407A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407A0">
        <w:rPr>
          <w:rFonts w:ascii="Arial" w:hAnsi="Arial" w:cs="Arial"/>
          <w:b/>
          <w:sz w:val="18"/>
          <w:szCs w:val="18"/>
        </w:rPr>
        <w:t>F</w:t>
      </w:r>
      <w:r w:rsidR="00376B5A">
        <w:rPr>
          <w:rFonts w:ascii="Arial" w:hAnsi="Arial" w:cs="Arial"/>
          <w:b/>
          <w:sz w:val="18"/>
          <w:szCs w:val="18"/>
        </w:rPr>
        <w:t>ixiform</w:t>
      </w:r>
      <w:proofErr w:type="spellEnd"/>
      <w:r w:rsidR="00376B5A">
        <w:rPr>
          <w:rFonts w:ascii="Arial" w:hAnsi="Arial" w:cs="Arial"/>
          <w:b/>
          <w:sz w:val="18"/>
          <w:szCs w:val="18"/>
        </w:rPr>
        <w:t xml:space="preserve"> </w:t>
      </w:r>
      <w:r w:rsidR="00776040">
        <w:rPr>
          <w:rFonts w:ascii="Arial" w:hAnsi="Arial" w:cs="Arial"/>
          <w:b/>
          <w:sz w:val="18"/>
          <w:szCs w:val="18"/>
        </w:rPr>
        <w:t>DS</w:t>
      </w:r>
      <w:r w:rsidR="00376B5A">
        <w:rPr>
          <w:rFonts w:ascii="Arial" w:hAnsi="Arial" w:cs="Arial"/>
          <w:sz w:val="18"/>
          <w:szCs w:val="18"/>
        </w:rPr>
        <w:t xml:space="preserve"> ép. 2</w:t>
      </w:r>
      <w:r w:rsidR="009407A0">
        <w:rPr>
          <w:rFonts w:ascii="Arial" w:hAnsi="Arial" w:cs="Arial"/>
          <w:sz w:val="18"/>
          <w:szCs w:val="18"/>
        </w:rPr>
        <w:t>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</w:t>
      </w:r>
      <w:r w:rsidR="00103ABA">
        <w:rPr>
          <w:rFonts w:ascii="Arial" w:hAnsi="Arial" w:cs="Arial"/>
          <w:sz w:val="18"/>
          <w:szCs w:val="18"/>
        </w:rPr>
        <w:t>1200x600</w:t>
      </w:r>
      <w:r w:rsidRPr="009566F9">
        <w:rPr>
          <w:rFonts w:ascii="Arial" w:hAnsi="Arial" w:cs="Arial"/>
          <w:sz w:val="18"/>
          <w:szCs w:val="18"/>
        </w:rPr>
        <w:t>mm</w:t>
      </w:r>
      <w:r w:rsidR="00502200">
        <w:rPr>
          <w:rFonts w:ascii="Arial" w:hAnsi="Arial" w:cs="Arial"/>
          <w:sz w:val="18"/>
          <w:szCs w:val="18"/>
        </w:rPr>
        <w:t>, 1500x600mm, 1900</w:t>
      </w:r>
      <w:r w:rsidR="00CA6F02">
        <w:rPr>
          <w:rFonts w:ascii="Arial" w:hAnsi="Arial" w:cs="Arial"/>
          <w:sz w:val="18"/>
          <w:szCs w:val="18"/>
        </w:rPr>
        <w:t>x600mm et 2300x600mm</w:t>
      </w:r>
      <w:r w:rsidR="00376B5A">
        <w:rPr>
          <w:rFonts w:ascii="Arial" w:hAnsi="Arial" w:cs="Arial"/>
          <w:sz w:val="18"/>
          <w:szCs w:val="18"/>
        </w:rPr>
        <w:t xml:space="preserve">. Ce système </w:t>
      </w:r>
      <w:r w:rsidR="006B3E64">
        <w:rPr>
          <w:rFonts w:ascii="Arial" w:hAnsi="Arial" w:cs="Arial"/>
          <w:sz w:val="18"/>
          <w:szCs w:val="18"/>
        </w:rPr>
        <w:t>sera</w:t>
      </w:r>
      <w:bookmarkStart w:id="0" w:name="_GoBack"/>
      <w:bookmarkEnd w:id="0"/>
      <w:r w:rsidR="00CA6F02" w:rsidRPr="00CA6F02">
        <w:rPr>
          <w:rFonts w:ascii="Arial" w:hAnsi="Arial" w:cs="Arial"/>
          <w:sz w:val="18"/>
          <w:szCs w:val="18"/>
        </w:rPr>
        <w:t xml:space="preserve"> utilisé pour créer des transitions entre les différents niveaux distincts du plafond, soit pour accueillir diverses installations de service dans le plénum, soit pour structurer la pièce.</w:t>
      </w:r>
      <w:r w:rsidR="008A028D" w:rsidRPr="008A028D">
        <w:t xml:space="preserve"> </w:t>
      </w:r>
      <w:r w:rsidR="008A028D" w:rsidRPr="008A028D">
        <w:rPr>
          <w:rFonts w:ascii="Arial" w:hAnsi="Arial" w:cs="Arial"/>
          <w:sz w:val="18"/>
          <w:szCs w:val="18"/>
        </w:rPr>
        <w:t>Les panneaux s</w:t>
      </w:r>
      <w:r w:rsidR="006B3E64">
        <w:rPr>
          <w:rFonts w:ascii="Arial" w:hAnsi="Arial" w:cs="Arial"/>
          <w:sz w:val="18"/>
          <w:szCs w:val="18"/>
        </w:rPr>
        <w:t>er</w:t>
      </w:r>
      <w:r w:rsidR="008A028D" w:rsidRPr="008A028D">
        <w:rPr>
          <w:rFonts w:ascii="Arial" w:hAnsi="Arial" w:cs="Arial"/>
          <w:sz w:val="18"/>
          <w:szCs w:val="18"/>
        </w:rPr>
        <w:t xml:space="preserve">ont livrés à plat et pliés à 90 degrés sur site avant l'installation. Une barre de renfort de 8 mm </w:t>
      </w:r>
      <w:r w:rsidR="00502200">
        <w:rPr>
          <w:rFonts w:ascii="Arial" w:hAnsi="Arial" w:cs="Arial"/>
          <w:sz w:val="18"/>
          <w:szCs w:val="18"/>
        </w:rPr>
        <w:t>sera</w:t>
      </w:r>
      <w:r w:rsidR="008A028D" w:rsidRPr="008A028D">
        <w:rPr>
          <w:rFonts w:ascii="Arial" w:hAnsi="Arial" w:cs="Arial"/>
          <w:sz w:val="18"/>
          <w:szCs w:val="18"/>
        </w:rPr>
        <w:t xml:space="preserve"> placée à la pliure du panne</w:t>
      </w:r>
      <w:r w:rsidR="00502200">
        <w:rPr>
          <w:rFonts w:ascii="Arial" w:hAnsi="Arial" w:cs="Arial"/>
          <w:sz w:val="18"/>
          <w:szCs w:val="18"/>
        </w:rPr>
        <w:t>au. La différence de niveau pourra</w:t>
      </w:r>
      <w:r w:rsidR="008A028D" w:rsidRPr="008A028D">
        <w:rPr>
          <w:rFonts w:ascii="Arial" w:hAnsi="Arial" w:cs="Arial"/>
          <w:sz w:val="18"/>
          <w:szCs w:val="18"/>
        </w:rPr>
        <w:t xml:space="preserve"> être réglée entre 150 et 530 mm pour les panneaux standard et jusqu'à 1930 mm en utilisant le système XL.</w:t>
      </w:r>
      <w:r w:rsidR="008A028D">
        <w:rPr>
          <w:rFonts w:ascii="Arial" w:hAnsi="Arial" w:cs="Arial"/>
          <w:sz w:val="18"/>
          <w:szCs w:val="18"/>
        </w:rPr>
        <w:t xml:space="preserve"> </w:t>
      </w:r>
      <w:r w:rsidR="008A028D" w:rsidRPr="008A028D">
        <w:rPr>
          <w:rFonts w:ascii="Arial" w:hAnsi="Arial" w:cs="Arial"/>
          <w:sz w:val="18"/>
          <w:szCs w:val="18"/>
        </w:rPr>
        <w:t xml:space="preserve">Le système </w:t>
      </w:r>
      <w:r w:rsidR="00502200">
        <w:rPr>
          <w:rFonts w:ascii="Arial" w:hAnsi="Arial" w:cs="Arial"/>
          <w:sz w:val="18"/>
          <w:szCs w:val="18"/>
        </w:rPr>
        <w:t xml:space="preserve">sera </w:t>
      </w:r>
      <w:r w:rsidR="008A028D" w:rsidRPr="008A028D">
        <w:rPr>
          <w:rFonts w:ascii="Arial" w:hAnsi="Arial" w:cs="Arial"/>
          <w:sz w:val="18"/>
          <w:szCs w:val="18"/>
        </w:rPr>
        <w:t xml:space="preserve">constitué de panneaux </w:t>
      </w:r>
      <w:proofErr w:type="spellStart"/>
      <w:r w:rsidR="008A028D" w:rsidRPr="008A028D">
        <w:rPr>
          <w:rFonts w:ascii="Arial" w:hAnsi="Arial" w:cs="Arial"/>
          <w:sz w:val="18"/>
          <w:szCs w:val="18"/>
        </w:rPr>
        <w:t>Fix</w:t>
      </w:r>
      <w:r w:rsidR="00502200">
        <w:rPr>
          <w:rFonts w:ascii="Arial" w:hAnsi="Arial" w:cs="Arial"/>
          <w:sz w:val="18"/>
          <w:szCs w:val="18"/>
        </w:rPr>
        <w:t>iform</w:t>
      </w:r>
      <w:proofErr w:type="spellEnd"/>
      <w:r w:rsidR="00502200">
        <w:rPr>
          <w:rFonts w:ascii="Arial" w:hAnsi="Arial" w:cs="Arial"/>
          <w:sz w:val="18"/>
          <w:szCs w:val="18"/>
        </w:rPr>
        <w:t xml:space="preserve"> posés bord à bord, ossature cachée et d’accessoires standard. </w:t>
      </w:r>
      <w:r w:rsidR="008A028D" w:rsidRPr="008A028D">
        <w:rPr>
          <w:rFonts w:ascii="Arial" w:hAnsi="Arial" w:cs="Arial"/>
          <w:sz w:val="18"/>
          <w:szCs w:val="18"/>
        </w:rPr>
        <w:t>Pour optimiser les performances et la qualité du système, il est recommandé d’utiliser les ossatures et accessoires Connect™</w:t>
      </w:r>
      <w:r w:rsidR="008A028D" w:rsidRPr="008A028D">
        <w:rPr>
          <w:rFonts w:ascii="Arial" w:hAnsi="Arial" w:cs="Arial"/>
          <w:b/>
          <w:sz w:val="18"/>
          <w:szCs w:val="18"/>
        </w:rPr>
        <w:t xml:space="preserve"> T24</w:t>
      </w:r>
      <w:r w:rsidR="008A028D">
        <w:rPr>
          <w:rFonts w:ascii="Arial" w:hAnsi="Arial" w:cs="Arial"/>
          <w:sz w:val="18"/>
          <w:szCs w:val="18"/>
        </w:rPr>
        <w:t>.</w:t>
      </w:r>
    </w:p>
    <w:p w:rsidR="00103ABA" w:rsidRDefault="008A028D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E0039" w:rsidRDefault="00BA0040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C654B6">
        <w:rPr>
          <w:rFonts w:ascii="Arial" w:hAnsi="Arial" w:cs="Arial"/>
          <w:sz w:val="18"/>
          <w:szCs w:val="18"/>
        </w:rPr>
        <w:t>sera traitée avec un revêtement</w:t>
      </w:r>
      <w:r w:rsidR="00681512">
        <w:rPr>
          <w:rFonts w:ascii="Arial" w:hAnsi="Arial" w:cs="Arial"/>
          <w:sz w:val="18"/>
          <w:szCs w:val="18"/>
        </w:rPr>
        <w:t xml:space="preserve"> lisse et homogène </w:t>
      </w:r>
      <w:r w:rsidR="00C654B6" w:rsidRPr="00BA0040">
        <w:rPr>
          <w:rFonts w:ascii="Arial" w:hAnsi="Arial" w:cs="Arial"/>
          <w:b/>
          <w:sz w:val="18"/>
          <w:szCs w:val="18"/>
        </w:rPr>
        <w:t>Akutex™ FT</w:t>
      </w:r>
      <w:r w:rsidR="00C654B6" w:rsidRPr="00C654B6">
        <w:rPr>
          <w:rFonts w:ascii="Arial" w:hAnsi="Arial" w:cs="Arial"/>
          <w:sz w:val="18"/>
          <w:szCs w:val="18"/>
        </w:rPr>
        <w:t xml:space="preserve"> : une peinture nano poreuse à l’eau, et </w:t>
      </w:r>
      <w:r w:rsidR="008A028D">
        <w:rPr>
          <w:rFonts w:ascii="Arial" w:hAnsi="Arial" w:cs="Arial"/>
          <w:sz w:val="18"/>
          <w:szCs w:val="18"/>
        </w:rPr>
        <w:t>l</w:t>
      </w:r>
      <w:r w:rsidR="008A028D" w:rsidRPr="008A028D">
        <w:rPr>
          <w:rFonts w:ascii="Arial" w:hAnsi="Arial" w:cs="Arial"/>
          <w:sz w:val="18"/>
          <w:szCs w:val="18"/>
        </w:rPr>
        <w:t>es bords verticaux en bord C sont peints.</w:t>
      </w:r>
      <w:r w:rsidR="008A028D">
        <w:rPr>
          <w:rFonts w:ascii="Arial" w:hAnsi="Arial" w:cs="Arial"/>
          <w:sz w:val="18"/>
          <w:szCs w:val="18"/>
        </w:rPr>
        <w:t xml:space="preserve"> </w:t>
      </w:r>
    </w:p>
    <w:p w:rsidR="00103ABA" w:rsidRDefault="00103ABA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8A028D">
        <w:rPr>
          <w:rFonts w:ascii="Arial" w:hAnsi="Arial" w:cs="Arial"/>
          <w:sz w:val="18"/>
          <w:szCs w:val="18"/>
        </w:rPr>
        <w:t>M274</w:t>
      </w:r>
      <w:r w:rsidR="00103ABA">
        <w:rPr>
          <w:rFonts w:ascii="Arial" w:hAnsi="Arial" w:cs="Arial"/>
          <w:sz w:val="18"/>
          <w:szCs w:val="18"/>
        </w:rPr>
        <w:t xml:space="preserve">. </w:t>
      </w:r>
      <w:r w:rsidR="008C5500" w:rsidRPr="008C5500">
        <w:rPr>
          <w:rFonts w:ascii="Arial" w:hAnsi="Arial" w:cs="Arial"/>
          <w:sz w:val="18"/>
          <w:szCs w:val="18"/>
        </w:rPr>
        <w:t xml:space="preserve">Les dalles </w:t>
      </w:r>
      <w:r w:rsidR="009441FC">
        <w:rPr>
          <w:rFonts w:ascii="Arial" w:hAnsi="Arial" w:cs="Arial"/>
          <w:sz w:val="18"/>
          <w:szCs w:val="18"/>
        </w:rPr>
        <w:t>ne seront pas démontables.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103ABA">
        <w:rPr>
          <w:rFonts w:ascii="Arial" w:hAnsi="Arial" w:cs="Arial"/>
          <w:sz w:val="18"/>
          <w:szCs w:val="18"/>
        </w:rPr>
        <w:t>αw de 0,90</w:t>
      </w:r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044CBC" w:rsidP="00ED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Focus </w:t>
            </w:r>
            <w:proofErr w:type="spellStart"/>
            <w:r w:rsidR="00ED65F7">
              <w:rPr>
                <w:rFonts w:ascii="Arial" w:hAnsi="Arial" w:cs="Arial"/>
                <w:b/>
                <w:sz w:val="18"/>
                <w:szCs w:val="18"/>
              </w:rPr>
              <w:t>Fixiform</w:t>
            </w:r>
            <w:proofErr w:type="spellEnd"/>
            <w:r w:rsidR="005A34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6040">
              <w:rPr>
                <w:rFonts w:ascii="Arial" w:hAnsi="Arial" w:cs="Arial"/>
                <w:b/>
                <w:sz w:val="18"/>
                <w:szCs w:val="18"/>
              </w:rPr>
              <w:t>DS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C5500" w:rsidRPr="00CC0ECA" w:rsidTr="00A36BE0">
        <w:trPr>
          <w:trHeight w:val="255"/>
        </w:trPr>
        <w:tc>
          <w:tcPr>
            <w:tcW w:w="1353" w:type="dxa"/>
            <w:noWrap/>
            <w:hideMark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</w:tcPr>
          <w:p w:rsidR="008C5500" w:rsidRPr="008C5500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</w:tcPr>
          <w:p w:rsidR="008C5500" w:rsidRPr="008C5500" w:rsidRDefault="008A028D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22" w:type="dxa"/>
            <w:noWrap/>
          </w:tcPr>
          <w:p w:rsidR="008C5500" w:rsidRPr="008C5500" w:rsidRDefault="008A028D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  <w:tc>
          <w:tcPr>
            <w:tcW w:w="822" w:type="dxa"/>
            <w:noWrap/>
          </w:tcPr>
          <w:p w:rsidR="008C5500" w:rsidRPr="008C5500" w:rsidRDefault="008A028D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  <w:r w:rsidR="00ED65F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0,9</w:t>
            </w:r>
            <w:r w:rsidR="008A02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noWrap/>
          </w:tcPr>
          <w:p w:rsidR="008C5500" w:rsidRPr="008C5500" w:rsidRDefault="008A028D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63" w:type="dxa"/>
            <w:noWrap/>
          </w:tcPr>
          <w:p w:rsidR="008C5500" w:rsidRPr="008C5500" w:rsidRDefault="00103ABA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  <w:r w:rsidR="00ED65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noWrap/>
          </w:tcPr>
          <w:p w:rsidR="008C5500" w:rsidRPr="008C5500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698" w:type="dxa"/>
            <w:noWrap/>
          </w:tcPr>
          <w:p w:rsidR="008C5500" w:rsidRPr="008C5500" w:rsidRDefault="008A028D" w:rsidP="00103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143" w:type="dxa"/>
          </w:tcPr>
          <w:p w:rsidR="008C5500" w:rsidRPr="008C5500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ED65F7" w:rsidRPr="00CC0ECA" w:rsidTr="00A36BE0">
        <w:trPr>
          <w:trHeight w:val="255"/>
        </w:trPr>
        <w:tc>
          <w:tcPr>
            <w:tcW w:w="1353" w:type="dxa"/>
            <w:noWrap/>
          </w:tcPr>
          <w:p w:rsidR="00ED65F7" w:rsidRPr="008C5500" w:rsidRDefault="00ED65F7" w:rsidP="00ED65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</w:tcPr>
          <w:p w:rsidR="00ED65F7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</w:tcPr>
          <w:p w:rsidR="00ED65F7" w:rsidRPr="008C5500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</w:tcPr>
          <w:p w:rsidR="00ED65F7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822" w:type="dxa"/>
            <w:noWrap/>
          </w:tcPr>
          <w:p w:rsidR="00ED65F7" w:rsidRPr="008C5500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822" w:type="dxa"/>
            <w:noWrap/>
          </w:tcPr>
          <w:p w:rsidR="00ED65F7" w:rsidRPr="008C5500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963" w:type="dxa"/>
            <w:noWrap/>
          </w:tcPr>
          <w:p w:rsidR="00ED65F7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963" w:type="dxa"/>
            <w:noWrap/>
          </w:tcPr>
          <w:p w:rsidR="00ED65F7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</w:tcPr>
          <w:p w:rsidR="00ED65F7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</w:tcPr>
          <w:p w:rsidR="00ED65F7" w:rsidRPr="008C5500" w:rsidRDefault="00ED65F7" w:rsidP="00103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1143" w:type="dxa"/>
          </w:tcPr>
          <w:p w:rsidR="00ED65F7" w:rsidRPr="008C5500" w:rsidRDefault="00ED65F7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ED65F7" w:rsidRDefault="00ED65F7" w:rsidP="004D26EA">
      <w:pPr>
        <w:pStyle w:val="Corpsdetexte2"/>
        <w:rPr>
          <w:rFonts w:ascii="Arial" w:hAnsi="Arial" w:cs="Arial"/>
          <w:b/>
          <w:sz w:val="18"/>
          <w:szCs w:val="18"/>
        </w:rPr>
      </w:pPr>
      <w:r w:rsidRPr="00ED65F7">
        <w:rPr>
          <w:rFonts w:ascii="Arial" w:hAnsi="Arial" w:cs="Arial"/>
          <w:b/>
          <w:sz w:val="18"/>
          <w:szCs w:val="18"/>
        </w:rPr>
        <w:t>Classe d'articulation :</w:t>
      </w:r>
      <w:r w:rsidRPr="00ED65F7">
        <w:rPr>
          <w:rFonts w:ascii="Arial" w:hAnsi="Arial" w:cs="Arial"/>
          <w:sz w:val="18"/>
          <w:szCs w:val="18"/>
        </w:rPr>
        <w:t xml:space="preserve"> Performance d’intelligibilité, la classe d'a</w:t>
      </w:r>
      <w:r w:rsidR="008A028D">
        <w:rPr>
          <w:rFonts w:ascii="Arial" w:hAnsi="Arial" w:cs="Arial"/>
          <w:sz w:val="18"/>
          <w:szCs w:val="18"/>
        </w:rPr>
        <w:t>rticulation AC (1,5) sera de 180</w:t>
      </w:r>
      <w:r w:rsidRPr="00ED65F7">
        <w:rPr>
          <w:rFonts w:ascii="Arial" w:hAnsi="Arial" w:cs="Arial"/>
          <w:sz w:val="18"/>
          <w:szCs w:val="18"/>
        </w:rPr>
        <w:t xml:space="preserve"> selon la norme ASTM E 1111 et E 1110.</w:t>
      </w:r>
    </w:p>
    <w:p w:rsidR="00ED65F7" w:rsidRDefault="00ED65F7" w:rsidP="004D26EA">
      <w:pPr>
        <w:pStyle w:val="Corpsdetexte2"/>
        <w:rPr>
          <w:rFonts w:ascii="Arial" w:hAnsi="Arial" w:cs="Arial"/>
          <w:b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7A52A9">
        <w:rPr>
          <w:rFonts w:ascii="Arial" w:hAnsi="Arial" w:cs="Arial"/>
          <w:noProof/>
          <w:sz w:val="18"/>
          <w:szCs w:val="18"/>
        </w:rPr>
        <w:t xml:space="preserve"> </w:t>
      </w:r>
      <w:r w:rsidR="00776040">
        <w:rPr>
          <w:rFonts w:ascii="Arial" w:hAnsi="Arial" w:cs="Arial"/>
          <w:noProof/>
          <w:sz w:val="18"/>
          <w:szCs w:val="18"/>
        </w:rPr>
        <w:t>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776040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776040">
        <w:rPr>
          <w:rFonts w:ascii="Arial" w:hAnsi="Arial" w:cs="Arial"/>
          <w:sz w:val="18"/>
          <w:szCs w:val="18"/>
        </w:rPr>
        <w:t xml:space="preserve"> devra être de 57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2E" w:rsidRDefault="00FE412E" w:rsidP="004419EE">
      <w:r>
        <w:separator/>
      </w:r>
    </w:p>
  </w:endnote>
  <w:endnote w:type="continuationSeparator" w:id="0">
    <w:p w:rsidR="00FE412E" w:rsidRDefault="00FE412E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2E" w:rsidRDefault="00FE412E" w:rsidP="004419EE">
      <w:r>
        <w:separator/>
      </w:r>
    </w:p>
  </w:footnote>
  <w:footnote w:type="continuationSeparator" w:id="0">
    <w:p w:rsidR="00FE412E" w:rsidRDefault="00FE412E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4413D"/>
    <w:rsid w:val="00044CBC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0F3C44"/>
    <w:rsid w:val="00103ABA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1831"/>
    <w:rsid w:val="00207F12"/>
    <w:rsid w:val="00211226"/>
    <w:rsid w:val="00212969"/>
    <w:rsid w:val="002154A7"/>
    <w:rsid w:val="00215FFE"/>
    <w:rsid w:val="002261BC"/>
    <w:rsid w:val="00236F80"/>
    <w:rsid w:val="00246D4E"/>
    <w:rsid w:val="002514F6"/>
    <w:rsid w:val="00274693"/>
    <w:rsid w:val="00276EF5"/>
    <w:rsid w:val="0029735E"/>
    <w:rsid w:val="00297A07"/>
    <w:rsid w:val="002A0A11"/>
    <w:rsid w:val="002A0C9A"/>
    <w:rsid w:val="002A1091"/>
    <w:rsid w:val="002A5200"/>
    <w:rsid w:val="002A663D"/>
    <w:rsid w:val="002C71CD"/>
    <w:rsid w:val="002D0D2A"/>
    <w:rsid w:val="002E4950"/>
    <w:rsid w:val="002F11C8"/>
    <w:rsid w:val="002F66B8"/>
    <w:rsid w:val="002F6EE2"/>
    <w:rsid w:val="003023C9"/>
    <w:rsid w:val="003031F1"/>
    <w:rsid w:val="003120CA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76B5A"/>
    <w:rsid w:val="00385144"/>
    <w:rsid w:val="00386765"/>
    <w:rsid w:val="00386F3B"/>
    <w:rsid w:val="00390F32"/>
    <w:rsid w:val="003914C2"/>
    <w:rsid w:val="00397A36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19EE"/>
    <w:rsid w:val="00442893"/>
    <w:rsid w:val="004531D3"/>
    <w:rsid w:val="00453F70"/>
    <w:rsid w:val="00457458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1D2C"/>
    <w:rsid w:val="00502200"/>
    <w:rsid w:val="00504005"/>
    <w:rsid w:val="00507A2F"/>
    <w:rsid w:val="005220F7"/>
    <w:rsid w:val="00530EE8"/>
    <w:rsid w:val="00541FCF"/>
    <w:rsid w:val="00553F12"/>
    <w:rsid w:val="00554424"/>
    <w:rsid w:val="0055754A"/>
    <w:rsid w:val="00564EFD"/>
    <w:rsid w:val="00597592"/>
    <w:rsid w:val="005A34F6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A73"/>
    <w:rsid w:val="006B2DF5"/>
    <w:rsid w:val="006B3E64"/>
    <w:rsid w:val="006B7BA8"/>
    <w:rsid w:val="006D76C7"/>
    <w:rsid w:val="006E3F32"/>
    <w:rsid w:val="006E7E07"/>
    <w:rsid w:val="00700F9E"/>
    <w:rsid w:val="007039FE"/>
    <w:rsid w:val="007102D6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76040"/>
    <w:rsid w:val="00784B13"/>
    <w:rsid w:val="00786182"/>
    <w:rsid w:val="00791684"/>
    <w:rsid w:val="007965B3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028D"/>
    <w:rsid w:val="008A2BC1"/>
    <w:rsid w:val="008A3C80"/>
    <w:rsid w:val="008A3DF5"/>
    <w:rsid w:val="008B04BD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07A0"/>
    <w:rsid w:val="00941EF0"/>
    <w:rsid w:val="009440D0"/>
    <w:rsid w:val="009441FC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4F1"/>
    <w:rsid w:val="00A818E4"/>
    <w:rsid w:val="00A83649"/>
    <w:rsid w:val="00A84915"/>
    <w:rsid w:val="00A921CB"/>
    <w:rsid w:val="00A93B1D"/>
    <w:rsid w:val="00A964FD"/>
    <w:rsid w:val="00AB0A60"/>
    <w:rsid w:val="00AD684B"/>
    <w:rsid w:val="00AE0039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D0C03"/>
    <w:rsid w:val="00BD30FF"/>
    <w:rsid w:val="00BD34D6"/>
    <w:rsid w:val="00BF2E68"/>
    <w:rsid w:val="00C02623"/>
    <w:rsid w:val="00C02D67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A6F02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466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16E22"/>
    <w:rsid w:val="00E22144"/>
    <w:rsid w:val="00E30F8D"/>
    <w:rsid w:val="00E422F9"/>
    <w:rsid w:val="00E43126"/>
    <w:rsid w:val="00E538A5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D65F7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E412E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B027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3</cp:revision>
  <dcterms:created xsi:type="dcterms:W3CDTF">2020-05-19T09:47:00Z</dcterms:created>
  <dcterms:modified xsi:type="dcterms:W3CDTF">2020-06-09T16:51:00Z</dcterms:modified>
</cp:coreProperties>
</file>